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3FEEF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F7B83">
        <w:rPr>
          <w:rFonts w:ascii="Times New Roman" w:hAnsi="Times New Roman" w:cs="Times New Roman"/>
          <w:sz w:val="24"/>
          <w:szCs w:val="24"/>
        </w:rPr>
        <w:t>Sylwester Wolak</w:t>
      </w:r>
    </w:p>
    <w:p w14:paraId="430A5664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</w:p>
    <w:p w14:paraId="3323202A" w14:textId="60E818C0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STRESZCZENIE PRACY</w:t>
      </w:r>
    </w:p>
    <w:p w14:paraId="0A470FF7" w14:textId="1F6AC8E3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pt. Polityka energetyczna Polski wobec wyzwań rynkowych po 1989 roku</w:t>
      </w:r>
    </w:p>
    <w:p w14:paraId="6595AB52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</w:p>
    <w:p w14:paraId="39DA4E3E" w14:textId="5FA5CB2D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Celem pracy była analiza polskiej polityki energetycznej po roku 1989 i badanie wpływu uwarunkowań zewnętrznych na jej kształt w Polsce. Siłą rzeczy najbardziej zauważalny i interesujący był wpływ prawodawstwa Unii Europejskiej  na wewnętrzną politykę energetyczno-środowiskową tak w zakresie przepisów regulujących wytwarzanie energii, jak również tych narzucających konieczność ochrony środowiska w procesach wytwarzania, dystrybucji i konsumpcji energii i nośników energetycznych. Równie ciekawy wydaje się być wpływ uregulowań unijnych na likwidację monopoli i tworzenie w Polsce wolnego rynku energii elektrycznej i gazu ziemnego, a także innych – mniej specyficznych -  rynków nośników energii, których uwolnienie nie wymagało dużej interwencji państwa, a funkcje regulacyjne doskonale spełniały mechanizmy wolnorynkowe, które po r. 1989 zastąpiły niewydolne centralne sterowanie.</w:t>
      </w:r>
    </w:p>
    <w:p w14:paraId="06F8781E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 xml:space="preserve">Wpływ polityki energetyczno-klimatycznej Unii Europejskiej na sektor energetyczny (nie tylko wytwórczy i wydobywczy) Polski nawet jeszcze w okresie przedakcesyjnym był główną hipotezą badawczą pracy. Uzupełniły ją cztery hipotezy pomocnicze: </w:t>
      </w:r>
    </w:p>
    <w:p w14:paraId="0524D757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1. polityka energetyczna Polski jest warunkowana zmianami w polityce klimatyczno-energetycznej Unii Europejskiej.</w:t>
      </w:r>
    </w:p>
    <w:p w14:paraId="7165E02C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 xml:space="preserve">2.  instrumenty finansowe Unii Europejskiej (środki w okresie przedakcesyjnym, Polityka Spójności, Programy Operacyjne: Infrastruktura i Środowisko, Kapitał Ludzki) wpłynęły na stopień modernizacji energetyki w Polsce. </w:t>
      </w:r>
    </w:p>
    <w:p w14:paraId="6C55E155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 xml:space="preserve">3. wobec braku rozwiązań systemowych, efekty polityki klimatyczno-energetycznej UE są niewystarczające. </w:t>
      </w:r>
    </w:p>
    <w:p w14:paraId="35B262B4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4. obecne wymogi rynkowe wiążą się nie tylko z potrzebą uzyskiwania niezawodnych dostaw energii (i surowców) w akceptowalnej cenie, ale również sprostania potrzebom/wyzwaniom środowiskowym.</w:t>
      </w:r>
    </w:p>
    <w:p w14:paraId="178171BA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</w:p>
    <w:p w14:paraId="5BF4BA58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 xml:space="preserve">W rozprawie wykorzystano szerokie instrumentarium badawcze. Podstawę stanowiła krytyczna analiza literatury i źródeł (głównie przepisów prawa stanowionego RP dostępnych w bazie danych pt. Internetowy System Aktów Prawnych Sejmu RP, wypowiedzi osób odpowiedzialnych za kreowanie polityki energetycznej państwa). </w:t>
      </w:r>
    </w:p>
    <w:p w14:paraId="569DB0A3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Analiza systemowa pozwoliła z kolei  na określenie przewidywanych następstw działań rządzących w poszczególnych okresach.</w:t>
      </w:r>
    </w:p>
    <w:p w14:paraId="7A8E41EA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Analizę instytucjonalno-prawną wykorzystano do szczegółowego przedstawienia aktów normatywnych tworzonych przez instytucje prawne, jak również do zbadania działania instytucji politycznych.</w:t>
      </w:r>
    </w:p>
    <w:p w14:paraId="3E83B302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lastRenderedPageBreak/>
        <w:t xml:space="preserve">Z kolei analiza historyczna pozwoliła na przedstawienie w ujęciu </w:t>
      </w:r>
      <w:proofErr w:type="spellStart"/>
      <w:r w:rsidRPr="000F7B83">
        <w:rPr>
          <w:rFonts w:ascii="Times New Roman" w:hAnsi="Times New Roman" w:cs="Times New Roman"/>
          <w:sz w:val="24"/>
          <w:szCs w:val="24"/>
        </w:rPr>
        <w:t>przyczynowo-skutkowym</w:t>
      </w:r>
      <w:proofErr w:type="spellEnd"/>
      <w:r w:rsidRPr="000F7B83">
        <w:rPr>
          <w:rFonts w:ascii="Times New Roman" w:hAnsi="Times New Roman" w:cs="Times New Roman"/>
          <w:sz w:val="24"/>
          <w:szCs w:val="24"/>
        </w:rPr>
        <w:t xml:space="preserve"> zmian, jakie nastąpiły w konsekwencji zmian aktów prawnych kreujących politykę energetyczną. </w:t>
      </w:r>
    </w:p>
    <w:p w14:paraId="5D771716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Do określenia kierunków rozwoju sektora energetycznego w Polsce na podstawie doświadczeń innych państw europejskich wykorzystano w rozprawie metodę ekstrapolacji.</w:t>
      </w:r>
    </w:p>
    <w:p w14:paraId="3CBD8C25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Badania potwierdziły prawidłowość postawionych hipotez badawczych. Mimo zróżnicowanego podejścia do Unii Europejskiej poszczególnych ekip rządzących, prawa dotyczące sektora energetycznego, stanowione w Brukseli znajdują odzwierciedlenie w krajowym porządku prawnym. Niekiedy implementacja poszczególnych przepisów unijnych do prawa polskiego odbywała się – trawestując słowa byłego prezydenta – na zasadzie „nie chcę, ale muszę”, żeby wspomnieć choćby o przepisach uwalniających rynek energii elektrycznej czy gazu ziemnego, albo tych, zmierzających do ograniczenia emisji do atmosfery pyłów, dwutlenku węgla i związków azotu.</w:t>
      </w:r>
    </w:p>
    <w:p w14:paraId="4EB64986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Tymczasem – warto to z perspektywy czasu docenić - uregulowania Unii Europejskiej dotyczące konieczności dywersyfikacji dostaw nośników energii, zwiększania pojemności baz magazynowych dla gromadzenia zapasów obowiązkowych ropy naftowej czy gazu ziemnego, też dość opornie wprowadzane w Polsce na przestrzeni lat (od okresu przedakcesyjnego – do dziś), ale w końcu wprowadzone w życie okazały się zbawienne po inwazji Federacji Rosyjskiej na Ukrainę, gdy polskie magazyny gazu czy ropy były w dużej mierze zapełnione i – w odróżnieniu od innych państw Europy Zachodniej – Polakom nie groziło odcięcie dostaw paliwa.</w:t>
      </w:r>
    </w:p>
    <w:p w14:paraId="422F6A9A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O tym, że ta polityka Unii Europejskiej była trafiona, i że bez niej pewnie nie poradzilibyśmy sobie jako państwo tak dobrze może świadczyć sytuacja w branży górnictwa węglowego. Skoro węgiel, jako paliwo, był przez Brukselę traktowany jako swego rodzaju formacja schyłkowa i główne decyzje Unii Europejskiej zmierzały do rezygnacji państw członkowskich z węgla jako paliwa, sektor ten był mniej regulowany i państwa członkowskie (w tym Polska) radziły (a raczej nie radziły) sobie głównie we własnym zakresie.</w:t>
      </w:r>
    </w:p>
    <w:p w14:paraId="30197661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Jak się to „radzenie sobie” skończyło, przekonaliśmy się wiosną 2022 roku, po zaprzestaniu importu węgla z Rosji, gdy momentalnie na składach paliw stałych zabrakło węgla, jego cena za tonę poszybowała do 3000 zł, administracja państwowa zaczęła się niezbyt skutecznie zajmować sprowadzaniem również bardzo złej jakości węgla z najbardziej egzotycznych kierunków globu, w tym np. z Kazachstanu, z którego sprowadzano do Polski węgiel… transportem ciężarówkowym (ponad 4000 km w jedną stronę!!!).</w:t>
      </w:r>
    </w:p>
    <w:p w14:paraId="5BDF384F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Natychmiast zapomniano o haśle Zjednoczonej Prawicy, zgodnie z którym węgiel jest gwarantem naszej suwerenności i mamy go na ponad 200 lat… Jak się okazało, krajowej produkcji zabrakło nawet na pokrycie miesięcznego zapotrzebowania.</w:t>
      </w:r>
    </w:p>
    <w:p w14:paraId="1D801D12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Sytuacja w branży węglowej w tym okresie na zasadzie wyjątku potwierdzającego regułę, wyraźnie pokazała, że legislacja Unii Europejskiej, implementowana w państwach członkowskich z pewnością uchroniła je od energetycznej katastrofy w 2022 r.</w:t>
      </w:r>
    </w:p>
    <w:p w14:paraId="56E8045E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 xml:space="preserve">Trzeba też z przekąsem stwierdzić, że źle się stało, że Unia Europejska (której zaczątkiem była organizacja o nazwie Europejska Wspólnota Węgla i Stali) nie regulowała całego sektora energetycznego, odpuszczając węgiel w państwach, w których jeszcze prowadzono </w:t>
      </w:r>
      <w:r w:rsidRPr="000F7B83">
        <w:rPr>
          <w:rFonts w:ascii="Times New Roman" w:hAnsi="Times New Roman" w:cs="Times New Roman"/>
          <w:sz w:val="24"/>
          <w:szCs w:val="24"/>
        </w:rPr>
        <w:lastRenderedPageBreak/>
        <w:t>wydobycie. Gdyby i w tym przypadku nacisk kładziono nie tylko na zaprzestanie wydobycia, ale i na gromadzenie zapasów obowiązkowych paliwa o określonych cechach (to, co leżało na przykopalnianych hałdach w Polsce, a było nazywane węglem, w „godzinie próby” okazało się być kamieniem, a nie paliwem), nie doświadczylibyśmy nagłego ogołocenia składów węgla, trzykrotnej zwyżki jego ceny i obaw o to, czym będą ogrzewać swoje domy najubożsi, którzy jako podstawowego paliwa używają węgla.</w:t>
      </w:r>
    </w:p>
    <w:p w14:paraId="1DFC7945" w14:textId="77777777" w:rsidR="000F7B83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</w:p>
    <w:p w14:paraId="1531DF4B" w14:textId="79C50DDA" w:rsidR="007F4941" w:rsidRPr="000F7B83" w:rsidRDefault="000F7B83" w:rsidP="000F7B83">
      <w:pPr>
        <w:rPr>
          <w:rFonts w:ascii="Times New Roman" w:hAnsi="Times New Roman" w:cs="Times New Roman"/>
          <w:sz w:val="24"/>
          <w:szCs w:val="24"/>
        </w:rPr>
      </w:pPr>
      <w:r w:rsidRPr="000F7B83">
        <w:rPr>
          <w:rFonts w:ascii="Times New Roman" w:hAnsi="Times New Roman" w:cs="Times New Roman"/>
          <w:sz w:val="24"/>
          <w:szCs w:val="24"/>
        </w:rPr>
        <w:t>W tej sytuacji stwierdzenie, że dzięki unijnym przepisom, zaimplementowanym do polskiego systemu prawnego i – na szczęście - wprowadzonym w życie, uniknęliśmy wielkoskalowej katastrofy gospodarczej po wybuchu wojny rosyjsko-ukraińskiej, co zweryfikowało celowość tworzenia tych przepisów w Brukseli i nacisku na ich wprowadzenie w państwach członkowskich, wydaje się być udowodnione i w całości popierać hipotezy badawcze rozprawy.</w:t>
      </w:r>
    </w:p>
    <w:sectPr w:rsidR="007F4941" w:rsidRPr="000F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83"/>
    <w:rsid w:val="000F7B83"/>
    <w:rsid w:val="007A71A5"/>
    <w:rsid w:val="007F4941"/>
    <w:rsid w:val="009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6C60"/>
  <w15:chartTrackingRefBased/>
  <w15:docId w15:val="{568A21C7-B0C7-49A2-B387-BA1C0DCA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Wolak</dc:creator>
  <cp:keywords/>
  <dc:description/>
  <cp:lastModifiedBy>Hewlett-Packard Company</cp:lastModifiedBy>
  <cp:revision>2</cp:revision>
  <dcterms:created xsi:type="dcterms:W3CDTF">2023-10-24T11:20:00Z</dcterms:created>
  <dcterms:modified xsi:type="dcterms:W3CDTF">2023-10-24T11:20:00Z</dcterms:modified>
</cp:coreProperties>
</file>